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7A03" w:rsidRPr="00721288" w:rsidRDefault="00AD7A03" w:rsidP="00AD7A03">
      <w:pPr>
        <w:shd w:val="clear" w:color="auto" w:fill="4F246D" w:themeFill="accent1"/>
        <w:rPr>
          <w:rFonts w:ascii="Century Gothic" w:eastAsia="Calibri" w:hAnsi="Century Gothic" w:cs="Times New Roman"/>
          <w:b/>
          <w:color w:val="FFFFFF" w:themeColor="background1"/>
          <w:sz w:val="28"/>
          <w:szCs w:val="24"/>
        </w:rPr>
      </w:pPr>
      <w:r w:rsidRPr="00721288">
        <w:rPr>
          <w:rFonts w:ascii="Century Gothic" w:eastAsia="Calibri" w:hAnsi="Century Gothic" w:cs="Times New Roman"/>
          <w:b/>
          <w:color w:val="FFFFFF" w:themeColor="background1"/>
          <w:sz w:val="28"/>
          <w:szCs w:val="24"/>
        </w:rPr>
        <w:t xml:space="preserve">FORM </w:t>
      </w:r>
      <w:r w:rsidR="002061AE" w:rsidRPr="00721288">
        <w:rPr>
          <w:rFonts w:ascii="Century Gothic" w:eastAsia="Calibri" w:hAnsi="Century Gothic" w:cs="Times New Roman"/>
          <w:b/>
          <w:color w:val="FFFFFF" w:themeColor="background1"/>
          <w:sz w:val="28"/>
          <w:szCs w:val="24"/>
        </w:rPr>
        <w:t>H</w:t>
      </w:r>
      <w:r w:rsidRPr="00721288">
        <w:rPr>
          <w:rFonts w:ascii="Century Gothic" w:eastAsia="Calibri" w:hAnsi="Century Gothic" w:cs="Times New Roman"/>
          <w:b/>
          <w:color w:val="FFFFFF" w:themeColor="background1"/>
          <w:sz w:val="28"/>
          <w:szCs w:val="24"/>
        </w:rPr>
        <w:t xml:space="preserve">: Mentoring Evaluation Form- </w:t>
      </w:r>
      <w:r w:rsidRPr="00721288">
        <w:rPr>
          <w:rFonts w:ascii="Century Gothic" w:eastAsia="Calibri" w:hAnsi="Century Gothic" w:cs="Times New Roman"/>
          <w:b/>
          <w:i/>
          <w:color w:val="FFFFFF" w:themeColor="background1"/>
          <w:sz w:val="28"/>
          <w:szCs w:val="24"/>
        </w:rPr>
        <w:t>to be completed by Mentor</w:t>
      </w:r>
    </w:p>
    <w:p w:rsidR="00AD7A03" w:rsidRDefault="00AD7A03" w:rsidP="00AD7A03">
      <w:pPr>
        <w:jc w:val="both"/>
        <w:rPr>
          <w:rFonts w:ascii="Arial Narrow" w:eastAsia="Calibri" w:hAnsi="Arial Narrow" w:cs="Times New Roman"/>
          <w:sz w:val="24"/>
          <w:szCs w:val="24"/>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20"/>
        <w:gridCol w:w="990"/>
        <w:gridCol w:w="4230"/>
        <w:gridCol w:w="540"/>
        <w:gridCol w:w="1620"/>
      </w:tblGrid>
      <w:tr w:rsidR="00AD7A03" w:rsidRPr="00211EA6" w:rsidTr="00502E0E">
        <w:tc>
          <w:tcPr>
            <w:tcW w:w="3420" w:type="dxa"/>
            <w:tcBorders>
              <w:bottom w:val="nil"/>
            </w:tcBorders>
            <w:vAlign w:val="bottom"/>
          </w:tcPr>
          <w:p w:rsidR="00AD7A03" w:rsidRPr="00211EA6" w:rsidRDefault="00AD7A03" w:rsidP="004079C9">
            <w:pPr>
              <w:rPr>
                <w:rFonts w:ascii="Open Sans" w:hAnsi="Open Sans" w:cs="Open Sans"/>
                <w:b/>
                <w:sz w:val="24"/>
              </w:rPr>
            </w:pPr>
            <w:r w:rsidRPr="00211EA6">
              <w:rPr>
                <w:rFonts w:ascii="Open Sans" w:hAnsi="Open Sans" w:cs="Open Sans"/>
                <w:b/>
                <w:sz w:val="24"/>
              </w:rPr>
              <w:t xml:space="preserve">Name of </w:t>
            </w:r>
            <w:r w:rsidR="004079C9">
              <w:rPr>
                <w:rFonts w:ascii="Open Sans" w:hAnsi="Open Sans" w:cs="Open Sans"/>
                <w:b/>
                <w:sz w:val="24"/>
              </w:rPr>
              <w:t>a</w:t>
            </w:r>
            <w:r w:rsidRPr="00211EA6">
              <w:rPr>
                <w:rFonts w:ascii="Open Sans" w:hAnsi="Open Sans" w:cs="Open Sans"/>
                <w:b/>
                <w:sz w:val="24"/>
              </w:rPr>
              <w:t>pplicant:</w:t>
            </w:r>
          </w:p>
        </w:tc>
        <w:tc>
          <w:tcPr>
            <w:tcW w:w="7380" w:type="dxa"/>
            <w:gridSpan w:val="4"/>
            <w:tcBorders>
              <w:bottom w:val="single" w:sz="4" w:space="0" w:color="auto"/>
            </w:tcBorders>
            <w:vAlign w:val="bottom"/>
          </w:tcPr>
          <w:p w:rsidR="00AD7A03" w:rsidRPr="00211EA6" w:rsidRDefault="00AD7A03" w:rsidP="00502E0E">
            <w:pPr>
              <w:rPr>
                <w:rFonts w:ascii="Arial Narrow" w:hAnsi="Arial Narrow"/>
                <w:sz w:val="24"/>
              </w:rPr>
            </w:pPr>
          </w:p>
        </w:tc>
      </w:tr>
      <w:tr w:rsidR="00AD7A03" w:rsidRPr="00211EA6" w:rsidTr="00502E0E">
        <w:tc>
          <w:tcPr>
            <w:tcW w:w="3420" w:type="dxa"/>
            <w:tcBorders>
              <w:top w:val="nil"/>
              <w:bottom w:val="nil"/>
            </w:tcBorders>
            <w:vAlign w:val="bottom"/>
          </w:tcPr>
          <w:p w:rsidR="00AD7A03" w:rsidRPr="00211EA6" w:rsidRDefault="00AD7A03" w:rsidP="004079C9">
            <w:pPr>
              <w:rPr>
                <w:rFonts w:ascii="Open Sans" w:hAnsi="Open Sans" w:cs="Open Sans"/>
                <w:b/>
                <w:sz w:val="24"/>
              </w:rPr>
            </w:pPr>
            <w:r w:rsidRPr="00211EA6">
              <w:rPr>
                <w:rFonts w:ascii="Open Sans" w:hAnsi="Open Sans" w:cs="Open Sans"/>
                <w:b/>
                <w:sz w:val="24"/>
              </w:rPr>
              <w:t xml:space="preserve">Service </w:t>
            </w:r>
            <w:r w:rsidR="004079C9">
              <w:rPr>
                <w:rFonts w:ascii="Open Sans" w:hAnsi="Open Sans" w:cs="Open Sans"/>
                <w:b/>
                <w:sz w:val="24"/>
              </w:rPr>
              <w:t>e</w:t>
            </w:r>
            <w:r w:rsidRPr="00211EA6">
              <w:rPr>
                <w:rFonts w:ascii="Open Sans" w:hAnsi="Open Sans" w:cs="Open Sans"/>
                <w:b/>
                <w:sz w:val="24"/>
              </w:rPr>
              <w:t xml:space="preserve">xperience </w:t>
            </w:r>
            <w:r w:rsidR="004079C9">
              <w:rPr>
                <w:rFonts w:ascii="Open Sans" w:hAnsi="Open Sans" w:cs="Open Sans"/>
                <w:b/>
                <w:sz w:val="24"/>
              </w:rPr>
              <w:t>t</w:t>
            </w:r>
            <w:r w:rsidRPr="00211EA6">
              <w:rPr>
                <w:rFonts w:ascii="Open Sans" w:hAnsi="Open Sans" w:cs="Open Sans"/>
                <w:b/>
                <w:sz w:val="24"/>
              </w:rPr>
              <w:t>ype:</w:t>
            </w:r>
          </w:p>
        </w:tc>
        <w:tc>
          <w:tcPr>
            <w:tcW w:w="990" w:type="dxa"/>
            <w:tcBorders>
              <w:top w:val="nil"/>
              <w:bottom w:val="nil"/>
            </w:tcBorders>
            <w:vAlign w:val="center"/>
          </w:tcPr>
          <w:p w:rsidR="00AD7A03" w:rsidRPr="00211EA6" w:rsidRDefault="00AD7A03" w:rsidP="00502E0E">
            <w:pPr>
              <w:rPr>
                <w:rFonts w:ascii="Arial Narrow" w:hAnsi="Arial Narrow"/>
                <w:sz w:val="40"/>
              </w:rPr>
            </w:pPr>
          </w:p>
        </w:tc>
        <w:tc>
          <w:tcPr>
            <w:tcW w:w="4230" w:type="dxa"/>
            <w:tcBorders>
              <w:top w:val="nil"/>
              <w:bottom w:val="nil"/>
            </w:tcBorders>
            <w:vAlign w:val="bottom"/>
          </w:tcPr>
          <w:p w:rsidR="00AD7A03" w:rsidRPr="00211EA6" w:rsidRDefault="00AD7A03" w:rsidP="00502E0E">
            <w:pPr>
              <w:rPr>
                <w:rFonts w:ascii="Open Sans" w:hAnsi="Open Sans" w:cs="Open Sans"/>
                <w:b/>
                <w:sz w:val="24"/>
              </w:rPr>
            </w:pPr>
            <w:r w:rsidRPr="00211EA6">
              <w:rPr>
                <w:rFonts w:ascii="Open Sans" w:hAnsi="Open Sans" w:cs="Open Sans"/>
                <w:b/>
                <w:sz w:val="24"/>
              </w:rPr>
              <w:t>Direct Service/Systems Advocacy</w:t>
            </w:r>
          </w:p>
        </w:tc>
        <w:tc>
          <w:tcPr>
            <w:tcW w:w="540" w:type="dxa"/>
            <w:tcBorders>
              <w:top w:val="nil"/>
              <w:bottom w:val="nil"/>
            </w:tcBorders>
            <w:vAlign w:val="bottom"/>
          </w:tcPr>
          <w:p w:rsidR="00AD7A03" w:rsidRPr="00211EA6" w:rsidRDefault="00AD7A03" w:rsidP="00502E0E">
            <w:pPr>
              <w:rPr>
                <w:rFonts w:ascii="Open Sans" w:hAnsi="Open Sans" w:cs="Open Sans"/>
                <w:sz w:val="24"/>
              </w:rPr>
            </w:pPr>
          </w:p>
        </w:tc>
        <w:tc>
          <w:tcPr>
            <w:tcW w:w="1620" w:type="dxa"/>
            <w:tcBorders>
              <w:top w:val="nil"/>
              <w:bottom w:val="nil"/>
            </w:tcBorders>
            <w:vAlign w:val="bottom"/>
          </w:tcPr>
          <w:p w:rsidR="00AD7A03" w:rsidRPr="00211EA6" w:rsidRDefault="00AD7A03" w:rsidP="00502E0E">
            <w:pPr>
              <w:rPr>
                <w:rFonts w:ascii="Open Sans" w:hAnsi="Open Sans" w:cs="Open Sans"/>
                <w:b/>
                <w:sz w:val="24"/>
              </w:rPr>
            </w:pPr>
            <w:r w:rsidRPr="00211EA6">
              <w:rPr>
                <w:rFonts w:ascii="Open Sans" w:hAnsi="Open Sans" w:cs="Open Sans"/>
                <w:b/>
                <w:sz w:val="24"/>
              </w:rPr>
              <w:t>Prevention</w:t>
            </w:r>
          </w:p>
        </w:tc>
      </w:tr>
    </w:tbl>
    <w:p w:rsidR="00AD7A03" w:rsidRDefault="00AD7A03" w:rsidP="00AD7A03">
      <w:pPr>
        <w:jc w:val="both"/>
        <w:rPr>
          <w:rFonts w:ascii="Arial Narrow" w:eastAsia="Calibri" w:hAnsi="Arial Narrow" w:cs="Times New Roman"/>
          <w:sz w:val="24"/>
          <w:szCs w:val="24"/>
        </w:rPr>
      </w:pPr>
    </w:p>
    <w:p w:rsidR="00AD7A03" w:rsidRPr="00AD7A03" w:rsidRDefault="00AD7A03" w:rsidP="00AD7A03">
      <w:pPr>
        <w:shd w:val="clear" w:color="auto" w:fill="E7E6E6" w:themeFill="background2"/>
        <w:rPr>
          <w:rFonts w:ascii="Open Sans" w:eastAsia="Calibri" w:hAnsi="Open Sans" w:cs="Open Sans"/>
          <w:b/>
          <w:i/>
          <w:sz w:val="20"/>
          <w:szCs w:val="24"/>
        </w:rPr>
      </w:pPr>
      <w:r w:rsidRPr="00AD7A03">
        <w:rPr>
          <w:rFonts w:ascii="Open Sans" w:eastAsia="Calibri" w:hAnsi="Open Sans" w:cs="Open Sans"/>
          <w:b/>
          <w:i/>
          <w:sz w:val="20"/>
          <w:szCs w:val="24"/>
        </w:rPr>
        <w:t xml:space="preserve">The </w:t>
      </w:r>
      <w:r w:rsidRPr="00DE3D6F">
        <w:rPr>
          <w:rFonts w:ascii="Open Sans" w:eastAsia="Calibri" w:hAnsi="Open Sans" w:cs="Open Sans"/>
          <w:b/>
          <w:i/>
          <w:sz w:val="20"/>
          <w:szCs w:val="24"/>
        </w:rPr>
        <w:t xml:space="preserve">above named </w:t>
      </w:r>
      <w:r w:rsidRPr="00AD7A03">
        <w:rPr>
          <w:rFonts w:ascii="Open Sans" w:eastAsia="Calibri" w:hAnsi="Open Sans" w:cs="Open Sans"/>
          <w:b/>
          <w:i/>
          <w:sz w:val="20"/>
          <w:szCs w:val="24"/>
        </w:rPr>
        <w:t>individual was mentored by you as part of the requirements for certification as a Domestic Violence Specialist.  Please evaluate the applicant’s ability to follow the Professional Code of Ethics below:</w:t>
      </w:r>
    </w:p>
    <w:p w:rsidR="00AD7A03" w:rsidRPr="00AD7A03" w:rsidRDefault="00AD7A03" w:rsidP="00AD7A03">
      <w:pPr>
        <w:rPr>
          <w:rFonts w:ascii="Open Sans" w:eastAsia="Calibri" w:hAnsi="Open Sans" w:cs="Open Sans"/>
          <w:szCs w:val="24"/>
        </w:rPr>
      </w:pPr>
      <w:r>
        <w:rPr>
          <w:rFonts w:ascii="Open Sans" w:eastAsia="Calibri" w:hAnsi="Open Sans" w:cs="Open Sans"/>
          <w:szCs w:val="24"/>
        </w:rPr>
        <w:t>T</w:t>
      </w:r>
      <w:r w:rsidRPr="00AD7A03">
        <w:rPr>
          <w:rFonts w:ascii="Open Sans" w:eastAsia="Calibri" w:hAnsi="Open Sans" w:cs="Open Sans"/>
          <w:szCs w:val="24"/>
        </w:rPr>
        <w:t>he principles of ethics are models of exemplary professional behavior and express professionals’ recognition of responsibilities to the public, victims/survivors, program participants, and to colleagues within and outside the field of domestic violence services.  They guide Certified Specialists in the performance of their professional responsibilities and express the basic tenets of ethical and professional conduct.  They are guided by core values and competencies that have emerged from domestic violence advocacy and the philosophical principles outlined in this document.</w:t>
      </w:r>
    </w:p>
    <w:p w:rsidR="00AD7A03" w:rsidRPr="00AD7A03" w:rsidRDefault="00AD7A03" w:rsidP="00AD7A03">
      <w:pPr>
        <w:jc w:val="both"/>
        <w:rPr>
          <w:rFonts w:ascii="Open Sans" w:eastAsia="Calibri" w:hAnsi="Open Sans" w:cs="Open Sans"/>
          <w:szCs w:val="24"/>
        </w:rPr>
      </w:pPr>
    </w:p>
    <w:p w:rsidR="00AD7A03" w:rsidRPr="00AD7A03" w:rsidRDefault="00AD7A03" w:rsidP="00AD7A03">
      <w:pPr>
        <w:jc w:val="both"/>
        <w:rPr>
          <w:rFonts w:ascii="Open Sans" w:eastAsia="Calibri" w:hAnsi="Open Sans" w:cs="Open Sans"/>
          <w:b/>
          <w:szCs w:val="24"/>
        </w:rPr>
      </w:pPr>
      <w:r>
        <w:rPr>
          <w:rFonts w:ascii="Open Sans" w:eastAsia="Calibri" w:hAnsi="Open Sans" w:cs="Open Sans"/>
          <w:b/>
          <w:szCs w:val="24"/>
        </w:rPr>
        <w:t xml:space="preserve">I. </w:t>
      </w:r>
      <w:r w:rsidRPr="00AD7A03">
        <w:rPr>
          <w:rFonts w:ascii="Open Sans" w:eastAsia="Calibri" w:hAnsi="Open Sans" w:cs="Open Sans"/>
          <w:b/>
          <w:szCs w:val="24"/>
        </w:rPr>
        <w:t>Non-Discrimination</w:t>
      </w:r>
    </w:p>
    <w:p w:rsidR="00AD7A03" w:rsidRPr="00AD7A03" w:rsidRDefault="00AD7A03" w:rsidP="00AD7A03">
      <w:pPr>
        <w:jc w:val="both"/>
        <w:rPr>
          <w:rFonts w:ascii="Open Sans" w:eastAsia="Calibri" w:hAnsi="Open Sans" w:cs="Open Sans"/>
          <w:szCs w:val="24"/>
        </w:rPr>
      </w:pPr>
      <w:r w:rsidRPr="00AD7A03">
        <w:rPr>
          <w:rFonts w:ascii="Open Sans" w:eastAsia="Calibri" w:hAnsi="Open Sans" w:cs="Open Sans"/>
          <w:szCs w:val="24"/>
        </w:rPr>
        <w:t>Domestic Violence Specialists shall not discriminate against service recipients or colleagues based on race, ethnicity, religion, national origin, sex, gender, gender identity, gender expression, age, sexual orientation, education level, socioeconomic or medical condition, or physical, cognitive or intellectual ability.  Domestic Violence Specialists should broaden their understanding and acceptance of cultural and individual differences and, in doing so, render services, deliver programming, and provide information sensitive to those differences.</w:t>
      </w:r>
    </w:p>
    <w:p w:rsidR="00AD7A03" w:rsidRPr="00AD7A03" w:rsidRDefault="00AD7A03" w:rsidP="00AD7A03">
      <w:pPr>
        <w:jc w:val="both"/>
        <w:rPr>
          <w:rFonts w:ascii="Open Sans" w:eastAsia="Calibri" w:hAnsi="Open Sans" w:cs="Open Sans"/>
          <w:szCs w:val="24"/>
        </w:rPr>
      </w:pPr>
    </w:p>
    <w:p w:rsidR="00AD7A03" w:rsidRPr="00AD7A03" w:rsidRDefault="00AD7A03" w:rsidP="00AD7A03">
      <w:pPr>
        <w:jc w:val="both"/>
        <w:rPr>
          <w:rFonts w:ascii="Open Sans" w:eastAsia="Calibri" w:hAnsi="Open Sans" w:cs="Open Sans"/>
          <w:b/>
          <w:szCs w:val="24"/>
        </w:rPr>
      </w:pPr>
      <w:r>
        <w:rPr>
          <w:rFonts w:ascii="Open Sans" w:eastAsia="Calibri" w:hAnsi="Open Sans" w:cs="Open Sans"/>
          <w:b/>
          <w:szCs w:val="24"/>
        </w:rPr>
        <w:t xml:space="preserve">II. </w:t>
      </w:r>
      <w:r w:rsidRPr="00AD7A03">
        <w:rPr>
          <w:rFonts w:ascii="Open Sans" w:eastAsia="Calibri" w:hAnsi="Open Sans" w:cs="Open Sans"/>
          <w:b/>
          <w:szCs w:val="24"/>
        </w:rPr>
        <w:t>Competence</w:t>
      </w:r>
    </w:p>
    <w:p w:rsidR="00AD7A03" w:rsidRPr="00AD7A03" w:rsidRDefault="00AD7A03" w:rsidP="00AD7A03">
      <w:pPr>
        <w:jc w:val="both"/>
        <w:rPr>
          <w:rFonts w:ascii="Open Sans" w:eastAsia="Calibri" w:hAnsi="Open Sans" w:cs="Open Sans"/>
          <w:szCs w:val="24"/>
        </w:rPr>
      </w:pPr>
      <w:r w:rsidRPr="00AD7A03">
        <w:rPr>
          <w:rFonts w:ascii="Open Sans" w:eastAsia="Calibri" w:hAnsi="Open Sans" w:cs="Open Sans"/>
          <w:szCs w:val="24"/>
        </w:rPr>
        <w:t>Domestic Violence Specialists shall master their specialty’s body of knowledge and skill competencies, strive continually to improve personal proficiency and quality of service, and discharge professional responsibility to the best of their ability.  Competence includes a synthesis of education and experience combined with an understanding of the context within which the application of service occurs.  The maintenance of competence requires continual learning and professional improvement throughout one’s career.</w:t>
      </w:r>
    </w:p>
    <w:p w:rsidR="00AD7A03" w:rsidRPr="00AD7A03" w:rsidRDefault="00AD7A03" w:rsidP="00AD7A03">
      <w:pPr>
        <w:numPr>
          <w:ilvl w:val="0"/>
          <w:numId w:val="4"/>
        </w:numPr>
        <w:spacing w:after="200"/>
        <w:contextualSpacing/>
        <w:jc w:val="both"/>
        <w:rPr>
          <w:rFonts w:ascii="Open Sans" w:eastAsia="Calibri" w:hAnsi="Open Sans" w:cs="Open Sans"/>
          <w:szCs w:val="24"/>
        </w:rPr>
      </w:pPr>
      <w:r w:rsidRPr="00AD7A03">
        <w:rPr>
          <w:rFonts w:ascii="Open Sans" w:eastAsia="Calibri" w:hAnsi="Open Sans" w:cs="Open Sans"/>
          <w:szCs w:val="24"/>
        </w:rPr>
        <w:t xml:space="preserve">Domestic Violence Specialists should recognize limitations and boundaries of their own competence and not use technique or offer services outside those boundaries.  Domestic Violence Specialists are responsible for assessing the adequacy of their own competence for the responsibility to be assumed. </w:t>
      </w:r>
    </w:p>
    <w:p w:rsidR="00AD7A03" w:rsidRPr="00AD7A03" w:rsidRDefault="00AD7A03" w:rsidP="00AD7A03">
      <w:pPr>
        <w:numPr>
          <w:ilvl w:val="0"/>
          <w:numId w:val="4"/>
        </w:numPr>
        <w:spacing w:after="200"/>
        <w:contextualSpacing/>
        <w:jc w:val="both"/>
        <w:rPr>
          <w:rFonts w:ascii="Open Sans" w:eastAsia="Calibri" w:hAnsi="Open Sans" w:cs="Open Sans"/>
          <w:szCs w:val="24"/>
        </w:rPr>
      </w:pPr>
      <w:r w:rsidRPr="00AD7A03">
        <w:rPr>
          <w:rFonts w:ascii="Open Sans" w:eastAsia="Calibri" w:hAnsi="Open Sans" w:cs="Open Sans"/>
          <w:szCs w:val="24"/>
        </w:rPr>
        <w:t>Domestic Violence Specialists should seek supervision from their supervisors on competency and ethical issues. Additional supervision or guidance can be/should be sought from peers, other domestic violence service providers, and other Domestic Violence Specialists.</w:t>
      </w:r>
    </w:p>
    <w:p w:rsidR="00AD7A03" w:rsidRPr="00AD7A03" w:rsidRDefault="00AD7A03" w:rsidP="00AD7A03">
      <w:pPr>
        <w:numPr>
          <w:ilvl w:val="0"/>
          <w:numId w:val="4"/>
        </w:numPr>
        <w:spacing w:after="200"/>
        <w:contextualSpacing/>
        <w:jc w:val="both"/>
        <w:rPr>
          <w:rFonts w:ascii="Open Sans" w:eastAsia="Calibri" w:hAnsi="Open Sans" w:cs="Open Sans"/>
          <w:szCs w:val="24"/>
        </w:rPr>
      </w:pPr>
      <w:r w:rsidRPr="00AD7A03">
        <w:rPr>
          <w:rFonts w:ascii="Open Sans" w:eastAsia="Calibri" w:hAnsi="Open Sans" w:cs="Open Sans"/>
          <w:szCs w:val="24"/>
        </w:rPr>
        <w:t>When Domestic Violence Specialists have knowledge of unethical conduct or practice on the part of another professional, they have an ethical responsibility to report the conduct or practice to funding, regulatory, or other appropriate bodies.</w:t>
      </w:r>
    </w:p>
    <w:p w:rsidR="00AD7A03" w:rsidRPr="00AD7A03" w:rsidRDefault="00AD7A03" w:rsidP="00AD7A03">
      <w:pPr>
        <w:jc w:val="both"/>
        <w:rPr>
          <w:rFonts w:ascii="Open Sans" w:eastAsia="Calibri" w:hAnsi="Open Sans" w:cs="Open Sans"/>
          <w:szCs w:val="24"/>
        </w:rPr>
      </w:pPr>
    </w:p>
    <w:p w:rsidR="00DE3D6F" w:rsidRDefault="004079C9" w:rsidP="004079C9">
      <w:pPr>
        <w:tabs>
          <w:tab w:val="left" w:pos="972"/>
        </w:tabs>
        <w:jc w:val="both"/>
        <w:rPr>
          <w:rFonts w:ascii="Open Sans" w:eastAsia="Calibri" w:hAnsi="Open Sans" w:cs="Open Sans"/>
          <w:b/>
          <w:szCs w:val="24"/>
        </w:rPr>
      </w:pPr>
      <w:bookmarkStart w:id="0" w:name="_GoBack"/>
      <w:bookmarkEnd w:id="0"/>
      <w:r>
        <w:rPr>
          <w:rFonts w:ascii="Open Sans" w:eastAsia="Calibri" w:hAnsi="Open Sans" w:cs="Open Sans"/>
          <w:b/>
          <w:szCs w:val="24"/>
        </w:rPr>
        <w:tab/>
      </w:r>
    </w:p>
    <w:p w:rsidR="00AD7A03" w:rsidRPr="00AD7A03" w:rsidRDefault="00AD7A03" w:rsidP="00AD7A03">
      <w:pPr>
        <w:jc w:val="both"/>
        <w:rPr>
          <w:rFonts w:ascii="Open Sans" w:eastAsia="Calibri" w:hAnsi="Open Sans" w:cs="Open Sans"/>
          <w:b/>
          <w:szCs w:val="24"/>
        </w:rPr>
      </w:pPr>
      <w:r>
        <w:rPr>
          <w:rFonts w:ascii="Open Sans" w:eastAsia="Calibri" w:hAnsi="Open Sans" w:cs="Open Sans"/>
          <w:b/>
          <w:szCs w:val="24"/>
        </w:rPr>
        <w:lastRenderedPageBreak/>
        <w:t xml:space="preserve">III. </w:t>
      </w:r>
      <w:r w:rsidRPr="00AD7A03">
        <w:rPr>
          <w:rFonts w:ascii="Open Sans" w:eastAsia="Calibri" w:hAnsi="Open Sans" w:cs="Open Sans"/>
          <w:b/>
          <w:szCs w:val="24"/>
        </w:rPr>
        <w:t>Integrity</w:t>
      </w:r>
    </w:p>
    <w:p w:rsidR="00AD7A03" w:rsidRPr="00AD7A03" w:rsidRDefault="00AD7A03" w:rsidP="00AD7A03">
      <w:pPr>
        <w:jc w:val="both"/>
        <w:rPr>
          <w:rFonts w:ascii="Open Sans" w:eastAsia="Calibri" w:hAnsi="Open Sans" w:cs="Open Sans"/>
          <w:szCs w:val="24"/>
        </w:rPr>
      </w:pPr>
      <w:r w:rsidRPr="00AD7A03">
        <w:rPr>
          <w:rFonts w:ascii="Open Sans" w:eastAsia="Calibri" w:hAnsi="Open Sans" w:cs="Open Sans"/>
          <w:szCs w:val="24"/>
        </w:rPr>
        <w:t xml:space="preserve">To maintain and broaden public confidence, Domestic Violence Specialists should perform all responsibilities with the highest sense of integrity.  Personal gain </w:t>
      </w:r>
      <w:proofErr w:type="spellStart"/>
      <w:r w:rsidRPr="00AD7A03">
        <w:rPr>
          <w:rFonts w:ascii="Open Sans" w:eastAsia="Calibri" w:hAnsi="Open Sans" w:cs="Open Sans"/>
          <w:szCs w:val="24"/>
        </w:rPr>
        <w:t>and</w:t>
      </w:r>
      <w:proofErr w:type="spellEnd"/>
      <w:r w:rsidRPr="00AD7A03">
        <w:rPr>
          <w:rFonts w:ascii="Open Sans" w:eastAsia="Calibri" w:hAnsi="Open Sans" w:cs="Open Sans"/>
          <w:szCs w:val="24"/>
        </w:rPr>
        <w:t xml:space="preserve"> advantage should not subordinate service and the public trust.  Due to the nature of domestic violence, Certified Specialists should pay particular attention to power and control dynamics in all professional capacities. </w:t>
      </w:r>
    </w:p>
    <w:p w:rsidR="00AD7A03" w:rsidRPr="00AD7A03" w:rsidRDefault="00AD7A03" w:rsidP="00AD7A03">
      <w:pPr>
        <w:numPr>
          <w:ilvl w:val="0"/>
          <w:numId w:val="5"/>
        </w:numPr>
        <w:spacing w:after="200"/>
        <w:contextualSpacing/>
        <w:jc w:val="both"/>
        <w:rPr>
          <w:rFonts w:ascii="Open Sans" w:eastAsia="Calibri" w:hAnsi="Open Sans" w:cs="Open Sans"/>
          <w:szCs w:val="24"/>
        </w:rPr>
      </w:pPr>
      <w:r w:rsidRPr="00AD7A03">
        <w:rPr>
          <w:rFonts w:ascii="Open Sans" w:eastAsia="Calibri" w:hAnsi="Open Sans" w:cs="Open Sans"/>
          <w:szCs w:val="24"/>
        </w:rPr>
        <w:t>All information should be presented fairly and accurately.  Certified Specialists should document and assign credit to all contributing sources used in published material or public statements.</w:t>
      </w:r>
    </w:p>
    <w:p w:rsidR="00AD7A03" w:rsidRPr="00AD7A03" w:rsidRDefault="00AD7A03" w:rsidP="00AD7A03">
      <w:pPr>
        <w:numPr>
          <w:ilvl w:val="0"/>
          <w:numId w:val="5"/>
        </w:numPr>
        <w:spacing w:after="200"/>
        <w:contextualSpacing/>
        <w:jc w:val="both"/>
        <w:rPr>
          <w:rFonts w:ascii="Open Sans" w:eastAsia="Calibri" w:hAnsi="Open Sans" w:cs="Open Sans"/>
          <w:szCs w:val="24"/>
        </w:rPr>
      </w:pPr>
      <w:r w:rsidRPr="00AD7A03">
        <w:rPr>
          <w:rFonts w:ascii="Open Sans" w:eastAsia="Calibri" w:hAnsi="Open Sans" w:cs="Open Sans"/>
          <w:szCs w:val="24"/>
        </w:rPr>
        <w:t xml:space="preserve">Certified Specialists should not misrepresent either directly or by implication professional qualifications or affiliations. </w:t>
      </w:r>
    </w:p>
    <w:p w:rsidR="00AD7A03" w:rsidRPr="00AD7A03" w:rsidRDefault="00AD7A03" w:rsidP="00AD7A03">
      <w:pPr>
        <w:numPr>
          <w:ilvl w:val="0"/>
          <w:numId w:val="5"/>
        </w:numPr>
        <w:spacing w:after="200"/>
        <w:contextualSpacing/>
        <w:jc w:val="both"/>
        <w:rPr>
          <w:rFonts w:ascii="Open Sans" w:eastAsia="Calibri" w:hAnsi="Open Sans" w:cs="Open Sans"/>
          <w:szCs w:val="24"/>
        </w:rPr>
      </w:pPr>
      <w:r w:rsidRPr="00AD7A03">
        <w:rPr>
          <w:rFonts w:ascii="Open Sans" w:eastAsia="Calibri" w:hAnsi="Open Sans" w:cs="Open Sans"/>
          <w:szCs w:val="24"/>
        </w:rPr>
        <w:t>Certified Specialists should not be associated directly or indirectly with any service, product, individual, or organization in a way that is misleading.</w:t>
      </w:r>
    </w:p>
    <w:p w:rsidR="00AD7A03" w:rsidRPr="00AD7A03" w:rsidRDefault="00AD7A03" w:rsidP="00AD7A03">
      <w:pPr>
        <w:jc w:val="both"/>
        <w:rPr>
          <w:rFonts w:ascii="Open Sans" w:eastAsia="Calibri" w:hAnsi="Open Sans" w:cs="Open Sans"/>
          <w:szCs w:val="24"/>
        </w:rPr>
      </w:pPr>
    </w:p>
    <w:p w:rsidR="00AD7A03" w:rsidRPr="00AD7A03" w:rsidRDefault="00AD7A03" w:rsidP="00AD7A03">
      <w:pPr>
        <w:jc w:val="both"/>
        <w:rPr>
          <w:rFonts w:ascii="Open Sans" w:eastAsia="Calibri" w:hAnsi="Open Sans" w:cs="Open Sans"/>
          <w:b/>
          <w:szCs w:val="24"/>
        </w:rPr>
      </w:pPr>
      <w:r>
        <w:rPr>
          <w:rFonts w:ascii="Open Sans" w:eastAsia="Calibri" w:hAnsi="Open Sans" w:cs="Open Sans"/>
          <w:b/>
          <w:szCs w:val="24"/>
        </w:rPr>
        <w:t xml:space="preserve">IV. </w:t>
      </w:r>
      <w:r w:rsidRPr="00AD7A03">
        <w:rPr>
          <w:rFonts w:ascii="Open Sans" w:eastAsia="Calibri" w:hAnsi="Open Sans" w:cs="Open Sans"/>
          <w:b/>
          <w:szCs w:val="24"/>
        </w:rPr>
        <w:t xml:space="preserve">Nature of Services </w:t>
      </w:r>
    </w:p>
    <w:p w:rsidR="00AD7A03" w:rsidRPr="00AD7A03" w:rsidRDefault="00AD7A03" w:rsidP="00AD7A03">
      <w:pPr>
        <w:jc w:val="both"/>
        <w:rPr>
          <w:rFonts w:ascii="Open Sans" w:eastAsia="Calibri" w:hAnsi="Open Sans" w:cs="Open Sans"/>
          <w:szCs w:val="24"/>
        </w:rPr>
      </w:pPr>
      <w:r w:rsidRPr="00AD7A03">
        <w:rPr>
          <w:rFonts w:ascii="Open Sans" w:eastAsia="Calibri" w:hAnsi="Open Sans" w:cs="Open Sans"/>
          <w:szCs w:val="24"/>
        </w:rPr>
        <w:t>Practices or programming shall do no harm to clients or the community in which they take place.  Services provided by Certified Specialists shall be respectful and non-exploitive.  Planning, implementation, and evaluation of services or programming should be evidence-informed or guided by best practices.</w:t>
      </w:r>
    </w:p>
    <w:p w:rsidR="00AD7A03" w:rsidRPr="00AD7A03" w:rsidRDefault="00AD7A03" w:rsidP="00AD7A03">
      <w:pPr>
        <w:numPr>
          <w:ilvl w:val="0"/>
          <w:numId w:val="6"/>
        </w:numPr>
        <w:spacing w:after="200"/>
        <w:contextualSpacing/>
        <w:jc w:val="both"/>
        <w:rPr>
          <w:rFonts w:ascii="Open Sans" w:eastAsia="Calibri" w:hAnsi="Open Sans" w:cs="Open Sans"/>
          <w:szCs w:val="24"/>
        </w:rPr>
      </w:pPr>
      <w:r w:rsidRPr="00AD7A03">
        <w:rPr>
          <w:rFonts w:ascii="Open Sans" w:eastAsia="Calibri" w:hAnsi="Open Sans" w:cs="Open Sans"/>
          <w:szCs w:val="24"/>
        </w:rPr>
        <w:t xml:space="preserve">Services should be provided in a way that preserves and supports the strengths and protective factors inherent in each culture and individual. </w:t>
      </w:r>
    </w:p>
    <w:p w:rsidR="00AD7A03" w:rsidRPr="00AD7A03" w:rsidRDefault="00AD7A03" w:rsidP="00AD7A03">
      <w:pPr>
        <w:numPr>
          <w:ilvl w:val="0"/>
          <w:numId w:val="6"/>
        </w:numPr>
        <w:spacing w:after="200"/>
        <w:contextualSpacing/>
        <w:jc w:val="both"/>
        <w:rPr>
          <w:rFonts w:ascii="Open Sans" w:eastAsia="Calibri" w:hAnsi="Open Sans" w:cs="Open Sans"/>
          <w:szCs w:val="24"/>
        </w:rPr>
      </w:pPr>
      <w:r w:rsidRPr="00AD7A03">
        <w:rPr>
          <w:rFonts w:ascii="Open Sans" w:eastAsia="Calibri" w:hAnsi="Open Sans" w:cs="Open Sans"/>
          <w:szCs w:val="24"/>
        </w:rPr>
        <w:t>Domestic Violence Specialists should use formal and informal structures to receive and incorporate input from service recipients in the development, implementation and evaluation of prevention and intervention services.</w:t>
      </w:r>
    </w:p>
    <w:p w:rsidR="00AD7A03" w:rsidRPr="00AD7A03" w:rsidRDefault="00AD7A03" w:rsidP="00AD7A03">
      <w:pPr>
        <w:numPr>
          <w:ilvl w:val="0"/>
          <w:numId w:val="6"/>
        </w:numPr>
        <w:spacing w:after="200"/>
        <w:contextualSpacing/>
        <w:jc w:val="both"/>
        <w:rPr>
          <w:rFonts w:ascii="Open Sans" w:eastAsia="Calibri" w:hAnsi="Open Sans" w:cs="Open Sans"/>
          <w:szCs w:val="24"/>
        </w:rPr>
      </w:pPr>
      <w:r w:rsidRPr="00AD7A03">
        <w:rPr>
          <w:rFonts w:ascii="Open Sans" w:eastAsia="Calibri" w:hAnsi="Open Sans" w:cs="Open Sans"/>
          <w:szCs w:val="24"/>
        </w:rPr>
        <w:t>Services and programming should facilitate shared power between the service provider and the service recipient.</w:t>
      </w:r>
    </w:p>
    <w:p w:rsidR="00AD7A03" w:rsidRPr="00AD7A03" w:rsidRDefault="00AD7A03" w:rsidP="00AD7A03">
      <w:pPr>
        <w:jc w:val="both"/>
        <w:rPr>
          <w:rFonts w:ascii="Open Sans" w:eastAsia="Calibri" w:hAnsi="Open Sans" w:cs="Open Sans"/>
          <w:szCs w:val="24"/>
        </w:rPr>
      </w:pPr>
    </w:p>
    <w:p w:rsidR="00AD7A03" w:rsidRPr="00AD7A03" w:rsidRDefault="00AD7A03" w:rsidP="00AD7A03">
      <w:pPr>
        <w:jc w:val="both"/>
        <w:rPr>
          <w:rFonts w:ascii="Open Sans" w:eastAsia="Calibri" w:hAnsi="Open Sans" w:cs="Open Sans"/>
          <w:b/>
          <w:szCs w:val="24"/>
        </w:rPr>
      </w:pPr>
      <w:r>
        <w:rPr>
          <w:rFonts w:ascii="Open Sans" w:eastAsia="Calibri" w:hAnsi="Open Sans" w:cs="Open Sans"/>
          <w:b/>
          <w:szCs w:val="24"/>
        </w:rPr>
        <w:t xml:space="preserve">V. </w:t>
      </w:r>
      <w:r w:rsidRPr="00AD7A03">
        <w:rPr>
          <w:rFonts w:ascii="Open Sans" w:eastAsia="Calibri" w:hAnsi="Open Sans" w:cs="Open Sans"/>
          <w:b/>
          <w:szCs w:val="24"/>
        </w:rPr>
        <w:t>Confidentiality</w:t>
      </w:r>
    </w:p>
    <w:p w:rsidR="00AD7A03" w:rsidRPr="00AD7A03" w:rsidRDefault="00AD7A03" w:rsidP="00AD7A03">
      <w:pPr>
        <w:jc w:val="both"/>
        <w:rPr>
          <w:rFonts w:ascii="Open Sans" w:eastAsia="Calibri" w:hAnsi="Open Sans" w:cs="Open Sans"/>
          <w:szCs w:val="24"/>
        </w:rPr>
      </w:pPr>
      <w:r w:rsidRPr="00AD7A03">
        <w:rPr>
          <w:rFonts w:ascii="Open Sans" w:eastAsia="Calibri" w:hAnsi="Open Sans" w:cs="Open Sans"/>
          <w:szCs w:val="24"/>
        </w:rPr>
        <w:t xml:space="preserve">Domestic Violence Specialists are responsible for knowing and adhering to the Federal, State, and individual agency/employer confidentiality regulations and policies relevant to their specialty or role. </w:t>
      </w:r>
    </w:p>
    <w:p w:rsidR="00AD7A03" w:rsidRPr="00AD7A03" w:rsidRDefault="00AD7A03" w:rsidP="00AD7A03">
      <w:pPr>
        <w:jc w:val="both"/>
        <w:rPr>
          <w:rFonts w:ascii="Open Sans" w:eastAsia="Calibri" w:hAnsi="Open Sans" w:cs="Open Sans"/>
          <w:szCs w:val="24"/>
        </w:rPr>
      </w:pPr>
    </w:p>
    <w:p w:rsidR="00AD7A03" w:rsidRPr="00AD7A03" w:rsidRDefault="00AD7A03" w:rsidP="00AD7A03">
      <w:pPr>
        <w:jc w:val="both"/>
        <w:rPr>
          <w:rFonts w:ascii="Open Sans" w:eastAsia="Calibri" w:hAnsi="Open Sans" w:cs="Open Sans"/>
          <w:b/>
          <w:szCs w:val="24"/>
        </w:rPr>
      </w:pPr>
      <w:r>
        <w:rPr>
          <w:rFonts w:ascii="Open Sans" w:eastAsia="Calibri" w:hAnsi="Open Sans" w:cs="Open Sans"/>
          <w:b/>
          <w:szCs w:val="24"/>
        </w:rPr>
        <w:t xml:space="preserve">VI. </w:t>
      </w:r>
      <w:r w:rsidRPr="00AD7A03">
        <w:rPr>
          <w:rFonts w:ascii="Open Sans" w:eastAsia="Calibri" w:hAnsi="Open Sans" w:cs="Open Sans"/>
          <w:b/>
          <w:szCs w:val="24"/>
        </w:rPr>
        <w:t>Ethical Obligations for Community and Society</w:t>
      </w:r>
    </w:p>
    <w:p w:rsidR="00AD7A03" w:rsidRPr="00AD7A03" w:rsidRDefault="00AD7A03" w:rsidP="00AD7A03">
      <w:pPr>
        <w:spacing w:after="200"/>
        <w:jc w:val="both"/>
        <w:rPr>
          <w:rFonts w:ascii="Open Sans" w:eastAsia="Calibri" w:hAnsi="Open Sans" w:cs="Open Sans"/>
          <w:szCs w:val="24"/>
        </w:rPr>
      </w:pPr>
      <w:r w:rsidRPr="00AD7A03">
        <w:rPr>
          <w:rFonts w:ascii="Open Sans" w:eastAsia="Calibri" w:hAnsi="Open Sans" w:cs="Open Sans"/>
          <w:szCs w:val="24"/>
        </w:rPr>
        <w:t>Certified Specialists are expected to respect the laws of the United States and the State of Delaware while working to change those that may be unjust or discriminatory. Certified Specialists are expected to seek opportunities to champion processes that aim to transform organizations, communities and systems from those perpetrating, tolerating or condoning oppression, abuse and violence to those upholding equity and respect.  Individually, Certified Specialists should adopt a personal and professional stance that promotes health and safety of all individuals and alternatives to violence and abuse.</w:t>
      </w:r>
    </w:p>
    <w:p w:rsidR="00DE3D6F" w:rsidRDefault="00DE3D6F">
      <w:pPr>
        <w:rPr>
          <w:rFonts w:ascii="Montserrat" w:eastAsia="Calibri" w:hAnsi="Montserrat" w:cs="Times New Roman"/>
          <w:b/>
          <w:szCs w:val="24"/>
        </w:rPr>
      </w:pPr>
      <w:r>
        <w:rPr>
          <w:rFonts w:ascii="Montserrat" w:eastAsia="Calibri" w:hAnsi="Montserrat" w:cs="Times New Roman"/>
          <w:b/>
          <w:szCs w:val="24"/>
        </w:rPr>
        <w:br w:type="page"/>
      </w:r>
    </w:p>
    <w:p w:rsidR="00AD7A03" w:rsidRPr="00AD7A03" w:rsidRDefault="00AD7A03" w:rsidP="00AD7A03">
      <w:pPr>
        <w:spacing w:after="200"/>
        <w:jc w:val="both"/>
        <w:rPr>
          <w:rFonts w:ascii="Montserrat" w:eastAsia="Calibri" w:hAnsi="Montserrat" w:cs="Times New Roman"/>
          <w:b/>
          <w:szCs w:val="24"/>
        </w:rPr>
      </w:pPr>
      <w:r w:rsidRPr="00AD7A03">
        <w:rPr>
          <w:rFonts w:ascii="Montserrat" w:eastAsia="Calibri" w:hAnsi="Montserrat" w:cs="Times New Roman"/>
          <w:b/>
          <w:szCs w:val="24"/>
        </w:rPr>
        <w:lastRenderedPageBreak/>
        <w:t>I HAVE READ THE ABOVE PROFESSIONAL CODE OF ETHICS AND TO THE BEST OF MY KNOWLEDGE BELIEVE THAT THE ABOVE APPLICANT FOR DOMESTIC VIOLENCE SPECIALIST FOLLOWS THE CODE OF ETHICS IN THEIR WORK AND TRAINING.</w:t>
      </w:r>
    </w:p>
    <w:p w:rsidR="00AD7A03" w:rsidRPr="00AD7A03" w:rsidRDefault="00AD7A03" w:rsidP="00AD7A03">
      <w:pPr>
        <w:rPr>
          <w:rFonts w:ascii="Open Sans" w:eastAsia="Calibri" w:hAnsi="Open Sans" w:cs="Open Sans"/>
          <w:szCs w:val="24"/>
        </w:rPr>
      </w:pPr>
      <w:r w:rsidRPr="00AD7A03">
        <w:rPr>
          <w:rFonts w:ascii="Open Sans" w:eastAsia="Calibri" w:hAnsi="Open Sans" w:cs="Open Sans"/>
          <w:b/>
          <w:szCs w:val="24"/>
        </w:rPr>
        <w:t>Additional comments or observations of applicant (please attach additional sheets if necessary):</w:t>
      </w:r>
    </w:p>
    <w:tbl>
      <w:tblPr>
        <w:tblStyle w:val="TableGrid1"/>
        <w:tblW w:w="0" w:type="auto"/>
        <w:tblBorders>
          <w:insideH w:val="none" w:sz="0" w:space="0" w:color="auto"/>
          <w:insideV w:val="none" w:sz="0" w:space="0" w:color="auto"/>
        </w:tblBorders>
        <w:tblLook w:val="04A0" w:firstRow="1" w:lastRow="0" w:firstColumn="1" w:lastColumn="0" w:noHBand="0" w:noVBand="1"/>
      </w:tblPr>
      <w:tblGrid>
        <w:gridCol w:w="10790"/>
      </w:tblGrid>
      <w:tr w:rsidR="00AD7A03" w:rsidRPr="00AD7A03" w:rsidTr="00502E0E">
        <w:tc>
          <w:tcPr>
            <w:tcW w:w="11016" w:type="dxa"/>
          </w:tcPr>
          <w:p w:rsidR="00AD7A03" w:rsidRPr="00AD7A03" w:rsidRDefault="00AD7A03" w:rsidP="00AD7A03">
            <w:pPr>
              <w:rPr>
                <w:rFonts w:ascii="Arial Narrow" w:hAnsi="Arial Narrow"/>
                <w:sz w:val="24"/>
              </w:rPr>
            </w:pPr>
          </w:p>
          <w:p w:rsidR="00AD7A03" w:rsidRPr="00AD7A03" w:rsidRDefault="00AD7A03" w:rsidP="00AD7A03">
            <w:pPr>
              <w:rPr>
                <w:rFonts w:ascii="Arial Narrow" w:hAnsi="Arial Narrow"/>
                <w:sz w:val="24"/>
              </w:rPr>
            </w:pPr>
          </w:p>
        </w:tc>
      </w:tr>
      <w:tr w:rsidR="00AD7A03" w:rsidRPr="00AD7A03" w:rsidTr="00502E0E">
        <w:tc>
          <w:tcPr>
            <w:tcW w:w="11016" w:type="dxa"/>
          </w:tcPr>
          <w:p w:rsidR="00AD7A03" w:rsidRPr="00AD7A03" w:rsidRDefault="00AD7A03" w:rsidP="00AD7A03">
            <w:pPr>
              <w:rPr>
                <w:rFonts w:ascii="Arial Narrow" w:hAnsi="Arial Narrow"/>
                <w:sz w:val="24"/>
              </w:rPr>
            </w:pPr>
          </w:p>
          <w:p w:rsidR="00AD7A03" w:rsidRPr="00AD7A03" w:rsidRDefault="00AD7A03" w:rsidP="00AD7A03">
            <w:pPr>
              <w:rPr>
                <w:rFonts w:ascii="Arial Narrow" w:hAnsi="Arial Narrow"/>
                <w:sz w:val="24"/>
              </w:rPr>
            </w:pPr>
          </w:p>
        </w:tc>
      </w:tr>
      <w:tr w:rsidR="00DE3D6F" w:rsidRPr="00AD7A03" w:rsidTr="00502E0E">
        <w:tc>
          <w:tcPr>
            <w:tcW w:w="11016" w:type="dxa"/>
          </w:tcPr>
          <w:p w:rsidR="00DE3D6F" w:rsidRDefault="00DE3D6F" w:rsidP="00AD7A03">
            <w:pPr>
              <w:rPr>
                <w:rFonts w:ascii="Arial Narrow" w:hAnsi="Arial Narrow"/>
                <w:sz w:val="24"/>
              </w:rPr>
            </w:pPr>
          </w:p>
          <w:p w:rsidR="00DE3D6F" w:rsidRPr="00AD7A03" w:rsidRDefault="00DE3D6F" w:rsidP="00AD7A03">
            <w:pPr>
              <w:rPr>
                <w:rFonts w:ascii="Arial Narrow" w:hAnsi="Arial Narrow"/>
                <w:sz w:val="24"/>
              </w:rPr>
            </w:pPr>
          </w:p>
        </w:tc>
      </w:tr>
    </w:tbl>
    <w:p w:rsidR="00AD7A03" w:rsidRPr="00AD7A03" w:rsidRDefault="00BF24D1" w:rsidP="00AD7A03">
      <w:pPr>
        <w:rPr>
          <w:rFonts w:ascii="Arial Narrow" w:eastAsia="Calibri" w:hAnsi="Arial Narrow" w:cs="Times New Roman"/>
          <w:sz w:val="24"/>
          <w:szCs w:val="24"/>
        </w:rPr>
      </w:pPr>
      <w:r w:rsidRPr="00F27AF3">
        <w:rPr>
          <w:rFonts w:ascii="Century Gothic" w:eastAsia="Calibri" w:hAnsi="Century Gothic" w:cs="Times New Roman"/>
          <w:noProof/>
        </w:rPr>
        <mc:AlternateContent>
          <mc:Choice Requires="wps">
            <w:drawing>
              <wp:anchor distT="0" distB="0" distL="114300" distR="114300" simplePos="0" relativeHeight="251659264" behindDoc="0" locked="0" layoutInCell="1" allowOverlap="1" wp14:anchorId="4508515E" wp14:editId="6B265784">
                <wp:simplePos x="0" y="0"/>
                <wp:positionH relativeFrom="column">
                  <wp:posOffset>3649980</wp:posOffset>
                </wp:positionH>
                <wp:positionV relativeFrom="paragraph">
                  <wp:posOffset>253365</wp:posOffset>
                </wp:positionV>
                <wp:extent cx="3209925" cy="1630680"/>
                <wp:effectExtent l="0" t="0" r="28575" b="2667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9925" cy="1630680"/>
                        </a:xfrm>
                        <a:prstGeom prst="rect">
                          <a:avLst/>
                        </a:prstGeom>
                        <a:solidFill>
                          <a:srgbClr val="E7E6E6"/>
                        </a:solidFill>
                        <a:ln w="9525">
                          <a:solidFill>
                            <a:srgbClr val="000000"/>
                          </a:solidFill>
                          <a:miter lim="800000"/>
                          <a:headEnd/>
                          <a:tailEnd/>
                        </a:ln>
                      </wps:spPr>
                      <wps:txbx>
                        <w:txbxContent>
                          <w:p w:rsidR="00BF24D1" w:rsidRPr="00F27AF3" w:rsidRDefault="00BF24D1" w:rsidP="00BF24D1">
                            <w:pPr>
                              <w:spacing w:line="240" w:lineRule="auto"/>
                              <w:rPr>
                                <w:rFonts w:ascii="Montserrat" w:hAnsi="Montserrat"/>
                                <w:b/>
                              </w:rPr>
                            </w:pPr>
                            <w:r w:rsidRPr="00F27AF3">
                              <w:rPr>
                                <w:rFonts w:ascii="Montserrat" w:hAnsi="Montserrat"/>
                                <w:b/>
                              </w:rPr>
                              <w:t>PLEASE RETURN THIS FORM VIA MAIL, FAX OR EMAIL DIRECTLY TO:</w:t>
                            </w:r>
                          </w:p>
                          <w:p w:rsidR="00BF24D1" w:rsidRPr="00F27AF3" w:rsidRDefault="00BF24D1" w:rsidP="00BF24D1">
                            <w:pPr>
                              <w:spacing w:line="240" w:lineRule="auto"/>
                              <w:rPr>
                                <w:rFonts w:ascii="Open Sans" w:hAnsi="Open Sans" w:cs="Open Sans"/>
                                <w:sz w:val="18"/>
                              </w:rPr>
                            </w:pPr>
                            <w:r w:rsidRPr="00F27AF3">
                              <w:rPr>
                                <w:rFonts w:ascii="Open Sans" w:hAnsi="Open Sans" w:cs="Open Sans"/>
                                <w:sz w:val="18"/>
                              </w:rPr>
                              <w:t>Delaware Coalition Against Domestic Violence</w:t>
                            </w:r>
                          </w:p>
                          <w:p w:rsidR="00BF24D1" w:rsidRPr="00F27AF3" w:rsidRDefault="00BF24D1" w:rsidP="00BF24D1">
                            <w:pPr>
                              <w:spacing w:line="240" w:lineRule="auto"/>
                              <w:rPr>
                                <w:rFonts w:ascii="Open Sans" w:hAnsi="Open Sans" w:cs="Open Sans"/>
                                <w:sz w:val="18"/>
                              </w:rPr>
                            </w:pPr>
                            <w:r w:rsidRPr="00F27AF3">
                              <w:rPr>
                                <w:rFonts w:ascii="Open Sans" w:hAnsi="Open Sans" w:cs="Open Sans"/>
                                <w:sz w:val="18"/>
                              </w:rPr>
                              <w:t>Attn: DVS Certification</w:t>
                            </w:r>
                          </w:p>
                          <w:p w:rsidR="00BF24D1" w:rsidRPr="00F27AF3" w:rsidRDefault="00BF24D1" w:rsidP="00BF24D1">
                            <w:pPr>
                              <w:spacing w:line="240" w:lineRule="auto"/>
                              <w:rPr>
                                <w:rFonts w:ascii="Open Sans" w:hAnsi="Open Sans" w:cs="Open Sans"/>
                                <w:sz w:val="18"/>
                              </w:rPr>
                            </w:pPr>
                            <w:r w:rsidRPr="00F27AF3">
                              <w:rPr>
                                <w:rFonts w:ascii="Open Sans" w:hAnsi="Open Sans" w:cs="Open Sans"/>
                                <w:sz w:val="18"/>
                              </w:rPr>
                              <w:t>100 W. 10</w:t>
                            </w:r>
                            <w:r w:rsidRPr="00F27AF3">
                              <w:rPr>
                                <w:rFonts w:ascii="Open Sans" w:hAnsi="Open Sans" w:cs="Open Sans"/>
                                <w:sz w:val="18"/>
                                <w:vertAlign w:val="superscript"/>
                              </w:rPr>
                              <w:t>th</w:t>
                            </w:r>
                            <w:r w:rsidRPr="00F27AF3">
                              <w:rPr>
                                <w:rFonts w:ascii="Open Sans" w:hAnsi="Open Sans" w:cs="Open Sans"/>
                                <w:sz w:val="18"/>
                              </w:rPr>
                              <w:t xml:space="preserve"> St., Suite 903</w:t>
                            </w:r>
                          </w:p>
                          <w:p w:rsidR="00BF24D1" w:rsidRPr="00F27AF3" w:rsidRDefault="00BF24D1" w:rsidP="00BF24D1">
                            <w:pPr>
                              <w:spacing w:line="240" w:lineRule="auto"/>
                              <w:rPr>
                                <w:rFonts w:ascii="Open Sans" w:hAnsi="Open Sans" w:cs="Open Sans"/>
                                <w:sz w:val="18"/>
                              </w:rPr>
                            </w:pPr>
                            <w:r w:rsidRPr="00F27AF3">
                              <w:rPr>
                                <w:rFonts w:ascii="Open Sans" w:hAnsi="Open Sans" w:cs="Open Sans"/>
                                <w:sz w:val="18"/>
                              </w:rPr>
                              <w:t>Wilmington, DE 19801</w:t>
                            </w:r>
                          </w:p>
                          <w:p w:rsidR="00BF24D1" w:rsidRPr="00F27AF3" w:rsidRDefault="00BF24D1" w:rsidP="00BF24D1">
                            <w:pPr>
                              <w:spacing w:line="240" w:lineRule="auto"/>
                              <w:rPr>
                                <w:rFonts w:ascii="Open Sans" w:hAnsi="Open Sans" w:cs="Open Sans"/>
                                <w:sz w:val="18"/>
                              </w:rPr>
                            </w:pPr>
                          </w:p>
                          <w:p w:rsidR="00BF24D1" w:rsidRPr="00F27AF3" w:rsidRDefault="00BF24D1" w:rsidP="00BF24D1">
                            <w:pPr>
                              <w:spacing w:line="240" w:lineRule="auto"/>
                              <w:rPr>
                                <w:rFonts w:ascii="Open Sans" w:hAnsi="Open Sans" w:cs="Open Sans"/>
                                <w:sz w:val="18"/>
                              </w:rPr>
                            </w:pPr>
                            <w:r w:rsidRPr="00F27AF3">
                              <w:rPr>
                                <w:rFonts w:ascii="Open Sans" w:hAnsi="Open Sans" w:cs="Open Sans"/>
                                <w:sz w:val="18"/>
                              </w:rPr>
                              <w:t>Fax: 302-658-5049</w:t>
                            </w:r>
                          </w:p>
                          <w:p w:rsidR="00BF24D1" w:rsidRPr="00F27AF3" w:rsidRDefault="00BF24D1" w:rsidP="00BF24D1">
                            <w:pPr>
                              <w:spacing w:line="240" w:lineRule="auto"/>
                              <w:rPr>
                                <w:rFonts w:ascii="Open Sans" w:hAnsi="Open Sans" w:cs="Open Sans"/>
                                <w:sz w:val="18"/>
                              </w:rPr>
                            </w:pPr>
                            <w:r w:rsidRPr="00F27AF3">
                              <w:rPr>
                                <w:rFonts w:ascii="Open Sans" w:hAnsi="Open Sans" w:cs="Open Sans"/>
                                <w:sz w:val="18"/>
                              </w:rPr>
                              <w:t xml:space="preserve">Email: </w:t>
                            </w:r>
                            <w:hyperlink r:id="rId7" w:history="1">
                              <w:r w:rsidRPr="00F27AF3">
                                <w:rPr>
                                  <w:rStyle w:val="Hyperlink"/>
                                  <w:rFonts w:ascii="Open Sans" w:hAnsi="Open Sans" w:cs="Open Sans"/>
                                  <w:sz w:val="18"/>
                                </w:rPr>
                                <w:t>training@dcadv.org</w:t>
                              </w:r>
                            </w:hyperlink>
                          </w:p>
                          <w:p w:rsidR="00BF24D1" w:rsidRPr="00411FEF" w:rsidRDefault="00BF24D1" w:rsidP="00BF24D1">
                            <w:pPr>
                              <w:spacing w:line="240" w:lineRule="auto"/>
                              <w:rPr>
                                <w:rFonts w:ascii="Arial Narrow" w:hAnsi="Arial Narrow"/>
                                <w:sz w:val="21"/>
                                <w:szCs w:val="21"/>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508515E" id="_x0000_t202" coordsize="21600,21600" o:spt="202" path="m,l,21600r21600,l21600,xe">
                <v:stroke joinstyle="miter"/>
                <v:path gradientshapeok="t" o:connecttype="rect"/>
              </v:shapetype>
              <v:shape id="Text Box 2" o:spid="_x0000_s1026" type="#_x0000_t202" style="position:absolute;margin-left:287.4pt;margin-top:19.95pt;width:252.75pt;height:128.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" fillcolor="#e7e6e6">
                <v:textbox>
                  <w:txbxContent>
                    <w:p w:rsidR="00BF24D1" w:rsidRPr="00F27AF3" w:rsidRDefault="00BF24D1" w:rsidP="00BF24D1">
                      <w:pPr>
                        <w:spacing w:line="240" w:lineRule="auto"/>
                        <w:rPr>
                          <w:rFonts w:ascii="Montserrat" w:hAnsi="Montserrat"/>
                          <w:b/>
                        </w:rPr>
                      </w:pPr>
                      <w:r w:rsidRPr="00F27AF3">
                        <w:rPr>
                          <w:rFonts w:ascii="Montserrat" w:hAnsi="Montserrat"/>
                          <w:b/>
                        </w:rPr>
                        <w:t>PLEASE RETURN THIS FORM VIA MAIL, FAX OR EMAIL DIRECTLY TO:</w:t>
                      </w:r>
                    </w:p>
                    <w:p w:rsidR="00BF24D1" w:rsidRPr="00F27AF3" w:rsidRDefault="00BF24D1" w:rsidP="00BF24D1">
                      <w:pPr>
                        <w:spacing w:line="240" w:lineRule="auto"/>
                        <w:rPr>
                          <w:rFonts w:ascii="Open Sans" w:hAnsi="Open Sans" w:cs="Open Sans"/>
                          <w:sz w:val="18"/>
                        </w:rPr>
                      </w:pPr>
                      <w:r w:rsidRPr="00F27AF3">
                        <w:rPr>
                          <w:rFonts w:ascii="Open Sans" w:hAnsi="Open Sans" w:cs="Open Sans"/>
                          <w:sz w:val="18"/>
                        </w:rPr>
                        <w:t>Delaware Coalition Against Domestic Violence</w:t>
                      </w:r>
                    </w:p>
                    <w:p w:rsidR="00BF24D1" w:rsidRPr="00F27AF3" w:rsidRDefault="00BF24D1" w:rsidP="00BF24D1">
                      <w:pPr>
                        <w:spacing w:line="240" w:lineRule="auto"/>
                        <w:rPr>
                          <w:rFonts w:ascii="Open Sans" w:hAnsi="Open Sans" w:cs="Open Sans"/>
                          <w:sz w:val="18"/>
                        </w:rPr>
                      </w:pPr>
                      <w:r w:rsidRPr="00F27AF3">
                        <w:rPr>
                          <w:rFonts w:ascii="Open Sans" w:hAnsi="Open Sans" w:cs="Open Sans"/>
                          <w:sz w:val="18"/>
                        </w:rPr>
                        <w:t>Attn: DVS Certification</w:t>
                      </w:r>
                    </w:p>
                    <w:p w:rsidR="00BF24D1" w:rsidRPr="00F27AF3" w:rsidRDefault="00BF24D1" w:rsidP="00BF24D1">
                      <w:pPr>
                        <w:spacing w:line="240" w:lineRule="auto"/>
                        <w:rPr>
                          <w:rFonts w:ascii="Open Sans" w:hAnsi="Open Sans" w:cs="Open Sans"/>
                          <w:sz w:val="18"/>
                        </w:rPr>
                      </w:pPr>
                      <w:r w:rsidRPr="00F27AF3">
                        <w:rPr>
                          <w:rFonts w:ascii="Open Sans" w:hAnsi="Open Sans" w:cs="Open Sans"/>
                          <w:sz w:val="18"/>
                        </w:rPr>
                        <w:t>100 W. 10</w:t>
                      </w:r>
                      <w:r w:rsidRPr="00F27AF3">
                        <w:rPr>
                          <w:rFonts w:ascii="Open Sans" w:hAnsi="Open Sans" w:cs="Open Sans"/>
                          <w:sz w:val="18"/>
                          <w:vertAlign w:val="superscript"/>
                        </w:rPr>
                        <w:t>th</w:t>
                      </w:r>
                      <w:r w:rsidRPr="00F27AF3">
                        <w:rPr>
                          <w:rFonts w:ascii="Open Sans" w:hAnsi="Open Sans" w:cs="Open Sans"/>
                          <w:sz w:val="18"/>
                        </w:rPr>
                        <w:t xml:space="preserve"> St., Suite 903</w:t>
                      </w:r>
                    </w:p>
                    <w:p w:rsidR="00BF24D1" w:rsidRPr="00F27AF3" w:rsidRDefault="00BF24D1" w:rsidP="00BF24D1">
                      <w:pPr>
                        <w:spacing w:line="240" w:lineRule="auto"/>
                        <w:rPr>
                          <w:rFonts w:ascii="Open Sans" w:hAnsi="Open Sans" w:cs="Open Sans"/>
                          <w:sz w:val="18"/>
                        </w:rPr>
                      </w:pPr>
                      <w:r w:rsidRPr="00F27AF3">
                        <w:rPr>
                          <w:rFonts w:ascii="Open Sans" w:hAnsi="Open Sans" w:cs="Open Sans"/>
                          <w:sz w:val="18"/>
                        </w:rPr>
                        <w:t>Wilmington, DE 19801</w:t>
                      </w:r>
                    </w:p>
                    <w:p w:rsidR="00BF24D1" w:rsidRPr="00F27AF3" w:rsidRDefault="00BF24D1" w:rsidP="00BF24D1">
                      <w:pPr>
                        <w:spacing w:line="240" w:lineRule="auto"/>
                        <w:rPr>
                          <w:rFonts w:ascii="Open Sans" w:hAnsi="Open Sans" w:cs="Open Sans"/>
                          <w:sz w:val="18"/>
                        </w:rPr>
                      </w:pPr>
                    </w:p>
                    <w:p w:rsidR="00BF24D1" w:rsidRPr="00F27AF3" w:rsidRDefault="00BF24D1" w:rsidP="00BF24D1">
                      <w:pPr>
                        <w:spacing w:line="240" w:lineRule="auto"/>
                        <w:rPr>
                          <w:rFonts w:ascii="Open Sans" w:hAnsi="Open Sans" w:cs="Open Sans"/>
                          <w:sz w:val="18"/>
                        </w:rPr>
                      </w:pPr>
                      <w:r w:rsidRPr="00F27AF3">
                        <w:rPr>
                          <w:rFonts w:ascii="Open Sans" w:hAnsi="Open Sans" w:cs="Open Sans"/>
                          <w:sz w:val="18"/>
                        </w:rPr>
                        <w:t>Fax: 302-658-5049</w:t>
                      </w:r>
                    </w:p>
                    <w:p w:rsidR="00BF24D1" w:rsidRPr="00F27AF3" w:rsidRDefault="00BF24D1" w:rsidP="00BF24D1">
                      <w:pPr>
                        <w:spacing w:line="240" w:lineRule="auto"/>
                        <w:rPr>
                          <w:rFonts w:ascii="Open Sans" w:hAnsi="Open Sans" w:cs="Open Sans"/>
                          <w:sz w:val="18"/>
                        </w:rPr>
                      </w:pPr>
                      <w:r w:rsidRPr="00F27AF3">
                        <w:rPr>
                          <w:rFonts w:ascii="Open Sans" w:hAnsi="Open Sans" w:cs="Open Sans"/>
                          <w:sz w:val="18"/>
                        </w:rPr>
                        <w:t xml:space="preserve">Email: </w:t>
                      </w:r>
                      <w:hyperlink r:id="rId8" w:history="1">
                        <w:r w:rsidRPr="00F27AF3">
                          <w:rPr>
                            <w:rStyle w:val="Hyperlink"/>
                            <w:rFonts w:ascii="Open Sans" w:hAnsi="Open Sans" w:cs="Open Sans"/>
                            <w:sz w:val="18"/>
                          </w:rPr>
                          <w:t>training@dcadv.org</w:t>
                        </w:r>
                      </w:hyperlink>
                    </w:p>
                    <w:p w:rsidR="00BF24D1" w:rsidRPr="00411FEF" w:rsidRDefault="00BF24D1" w:rsidP="00BF24D1">
                      <w:pPr>
                        <w:spacing w:line="240" w:lineRule="auto"/>
                        <w:rPr>
                          <w:rFonts w:ascii="Arial Narrow" w:hAnsi="Arial Narrow"/>
                          <w:sz w:val="21"/>
                          <w:szCs w:val="21"/>
                        </w:rPr>
                      </w:pPr>
                    </w:p>
                  </w:txbxContent>
                </v:textbox>
              </v:shape>
            </w:pict>
          </mc:Fallback>
        </mc:AlternateConten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98"/>
      </w:tblGrid>
      <w:tr w:rsidR="00AD7A03" w:rsidRPr="00AD7A03" w:rsidTr="00502E0E">
        <w:tc>
          <w:tcPr>
            <w:tcW w:w="5598" w:type="dxa"/>
            <w:tcBorders>
              <w:bottom w:val="single" w:sz="4" w:space="0" w:color="auto"/>
            </w:tcBorders>
          </w:tcPr>
          <w:p w:rsidR="00AD7A03" w:rsidRPr="00AD7A03" w:rsidRDefault="00AD7A03" w:rsidP="00AD7A03">
            <w:pPr>
              <w:rPr>
                <w:rFonts w:ascii="Century Gothic" w:hAnsi="Century Gothic"/>
              </w:rPr>
            </w:pPr>
          </w:p>
          <w:p w:rsidR="00AD7A03" w:rsidRPr="00AD7A03" w:rsidRDefault="00AD7A03" w:rsidP="00AD7A03">
            <w:pPr>
              <w:rPr>
                <w:rFonts w:ascii="Century Gothic" w:hAnsi="Century Gothic"/>
              </w:rPr>
            </w:pPr>
          </w:p>
        </w:tc>
      </w:tr>
      <w:tr w:rsidR="00AD7A03" w:rsidRPr="00AD7A03" w:rsidTr="00502E0E">
        <w:tc>
          <w:tcPr>
            <w:tcW w:w="5598" w:type="dxa"/>
            <w:tcBorders>
              <w:top w:val="single" w:sz="4" w:space="0" w:color="auto"/>
            </w:tcBorders>
          </w:tcPr>
          <w:p w:rsidR="00AD7A03" w:rsidRPr="00AD7A03" w:rsidRDefault="00AD7A03" w:rsidP="00AD7A03">
            <w:pPr>
              <w:rPr>
                <w:rFonts w:ascii="Montserrat" w:hAnsi="Montserrat"/>
                <w:b/>
              </w:rPr>
            </w:pPr>
            <w:r w:rsidRPr="00AD7A03">
              <w:rPr>
                <w:rFonts w:ascii="Montserrat" w:hAnsi="Montserrat"/>
                <w:b/>
              </w:rPr>
              <w:t>Mentor Name (print)</w:t>
            </w:r>
          </w:p>
        </w:tc>
      </w:tr>
      <w:tr w:rsidR="00AD7A03" w:rsidRPr="00AD7A03" w:rsidTr="00502E0E">
        <w:tc>
          <w:tcPr>
            <w:tcW w:w="5598" w:type="dxa"/>
            <w:tcBorders>
              <w:bottom w:val="single" w:sz="4" w:space="0" w:color="auto"/>
            </w:tcBorders>
          </w:tcPr>
          <w:p w:rsidR="00AD7A03" w:rsidRPr="00AD7A03" w:rsidRDefault="00AD7A03" w:rsidP="00AD7A03">
            <w:pPr>
              <w:rPr>
                <w:rFonts w:ascii="Century Gothic" w:hAnsi="Century Gothic"/>
              </w:rPr>
            </w:pPr>
          </w:p>
          <w:p w:rsidR="00AD7A03" w:rsidRPr="00AD7A03" w:rsidRDefault="00AD7A03" w:rsidP="00AD7A03">
            <w:pPr>
              <w:rPr>
                <w:rFonts w:ascii="Century Gothic" w:hAnsi="Century Gothic"/>
              </w:rPr>
            </w:pPr>
          </w:p>
        </w:tc>
      </w:tr>
      <w:tr w:rsidR="00AD7A03" w:rsidRPr="00AD7A03" w:rsidTr="00502E0E">
        <w:tc>
          <w:tcPr>
            <w:tcW w:w="5598" w:type="dxa"/>
            <w:tcBorders>
              <w:top w:val="single" w:sz="4" w:space="0" w:color="auto"/>
            </w:tcBorders>
          </w:tcPr>
          <w:p w:rsidR="00AD7A03" w:rsidRPr="00AD7A03" w:rsidRDefault="00AD7A03" w:rsidP="00AD7A03">
            <w:pPr>
              <w:rPr>
                <w:rFonts w:ascii="Montserrat" w:hAnsi="Montserrat"/>
                <w:b/>
              </w:rPr>
            </w:pPr>
            <w:r w:rsidRPr="00AD7A03">
              <w:rPr>
                <w:rFonts w:ascii="Montserrat" w:hAnsi="Montserrat"/>
                <w:b/>
              </w:rPr>
              <w:t>Mentor Signature</w:t>
            </w:r>
          </w:p>
        </w:tc>
      </w:tr>
      <w:tr w:rsidR="00AD7A03" w:rsidRPr="00AD7A03" w:rsidTr="00502E0E">
        <w:tc>
          <w:tcPr>
            <w:tcW w:w="5598" w:type="dxa"/>
            <w:tcBorders>
              <w:bottom w:val="single" w:sz="4" w:space="0" w:color="auto"/>
            </w:tcBorders>
          </w:tcPr>
          <w:p w:rsidR="00AD7A03" w:rsidRPr="00AD7A03" w:rsidRDefault="00AD7A03" w:rsidP="00AD7A03">
            <w:pPr>
              <w:rPr>
                <w:rFonts w:ascii="Century Gothic" w:hAnsi="Century Gothic"/>
                <w:b/>
              </w:rPr>
            </w:pPr>
          </w:p>
          <w:p w:rsidR="00AD7A03" w:rsidRPr="00AD7A03" w:rsidRDefault="00AD7A03" w:rsidP="00AD7A03">
            <w:pPr>
              <w:rPr>
                <w:rFonts w:ascii="Century Gothic" w:hAnsi="Century Gothic"/>
                <w:b/>
              </w:rPr>
            </w:pPr>
          </w:p>
        </w:tc>
      </w:tr>
      <w:tr w:rsidR="00AD7A03" w:rsidRPr="00AD7A03" w:rsidTr="00502E0E">
        <w:tc>
          <w:tcPr>
            <w:tcW w:w="5598" w:type="dxa"/>
            <w:tcBorders>
              <w:top w:val="single" w:sz="4" w:space="0" w:color="auto"/>
            </w:tcBorders>
          </w:tcPr>
          <w:p w:rsidR="00AD7A03" w:rsidRPr="00AD7A03" w:rsidRDefault="00AD7A03" w:rsidP="00AD7A03">
            <w:pPr>
              <w:rPr>
                <w:rFonts w:ascii="Montserrat" w:hAnsi="Montserrat"/>
                <w:b/>
              </w:rPr>
            </w:pPr>
            <w:r w:rsidRPr="00AD7A03">
              <w:rPr>
                <w:rFonts w:ascii="Montserrat" w:hAnsi="Montserrat"/>
                <w:b/>
              </w:rPr>
              <w:t>Date</w:t>
            </w:r>
          </w:p>
        </w:tc>
      </w:tr>
      <w:tr w:rsidR="00AD7A03" w:rsidRPr="00AD7A03" w:rsidTr="00502E0E">
        <w:tc>
          <w:tcPr>
            <w:tcW w:w="5598" w:type="dxa"/>
          </w:tcPr>
          <w:p w:rsidR="00AD7A03" w:rsidRPr="00AD7A03" w:rsidRDefault="00AD7A03" w:rsidP="00AD7A03">
            <w:pPr>
              <w:rPr>
                <w:rFonts w:ascii="Century Gothic" w:hAnsi="Century Gothic"/>
                <w:b/>
              </w:rPr>
            </w:pPr>
          </w:p>
        </w:tc>
      </w:tr>
    </w:tbl>
    <w:p w:rsidR="00811CE7" w:rsidRDefault="00811CE7"/>
    <w:sectPr w:rsidR="00811CE7" w:rsidSect="00AD7A03">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048F" w:rsidRDefault="008B048F" w:rsidP="008B048F">
      <w:pPr>
        <w:spacing w:line="240" w:lineRule="auto"/>
      </w:pPr>
      <w:r>
        <w:separator/>
      </w:r>
    </w:p>
  </w:endnote>
  <w:endnote w:type="continuationSeparator" w:id="0">
    <w:p w:rsidR="008B048F" w:rsidRDefault="008B048F" w:rsidP="008B048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Montserrat">
    <w:panose1 w:val="02000505000000020004"/>
    <w:charset w:val="00"/>
    <w:family w:val="auto"/>
    <w:pitch w:val="variable"/>
    <w:sig w:usb0="8000002F" w:usb1="4000204A"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048F" w:rsidRPr="008B048F" w:rsidRDefault="008B048F">
    <w:pPr>
      <w:pStyle w:val="Footer"/>
      <w:rPr>
        <w:rFonts w:ascii="Open Sans" w:hAnsi="Open Sans" w:cs="Open Sans"/>
        <w:sz w:val="14"/>
        <w:szCs w:val="14"/>
      </w:rPr>
    </w:pPr>
    <w:r>
      <w:rPr>
        <w:rFonts w:ascii="Open Sans" w:hAnsi="Open Sans" w:cs="Open Sans"/>
        <w:sz w:val="14"/>
        <w:szCs w:val="14"/>
      </w:rPr>
      <w:t xml:space="preserve">Form </w:t>
    </w:r>
    <w:r w:rsidR="002061AE">
      <w:rPr>
        <w:rFonts w:ascii="Open Sans" w:hAnsi="Open Sans" w:cs="Open Sans"/>
        <w:sz w:val="14"/>
        <w:szCs w:val="14"/>
      </w:rPr>
      <w:t>H</w:t>
    </w:r>
    <w:r>
      <w:rPr>
        <w:rFonts w:ascii="Open Sans" w:hAnsi="Open Sans" w:cs="Open Sans"/>
        <w:sz w:val="14"/>
        <w:szCs w:val="14"/>
      </w:rPr>
      <w:t xml:space="preserve">; </w:t>
    </w:r>
    <w:r w:rsidR="004079C9">
      <w:rPr>
        <w:rFonts w:ascii="Open Sans" w:hAnsi="Open Sans" w:cs="Open Sans"/>
        <w:sz w:val="14"/>
        <w:szCs w:val="14"/>
      </w:rPr>
      <w:t>11/22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048F" w:rsidRDefault="008B048F" w:rsidP="008B048F">
      <w:pPr>
        <w:spacing w:line="240" w:lineRule="auto"/>
      </w:pPr>
      <w:r>
        <w:separator/>
      </w:r>
    </w:p>
  </w:footnote>
  <w:footnote w:type="continuationSeparator" w:id="0">
    <w:p w:rsidR="008B048F" w:rsidRDefault="008B048F" w:rsidP="008B048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5E0D1E"/>
    <w:multiLevelType w:val="hybridMultilevel"/>
    <w:tmpl w:val="BE507B7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88541CD"/>
    <w:multiLevelType w:val="hybridMultilevel"/>
    <w:tmpl w:val="44249D4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EE34BA3"/>
    <w:multiLevelType w:val="hybridMultilevel"/>
    <w:tmpl w:val="EC643C2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C222FBC"/>
    <w:multiLevelType w:val="hybridMultilevel"/>
    <w:tmpl w:val="EDB6280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6810FE3"/>
    <w:multiLevelType w:val="hybridMultilevel"/>
    <w:tmpl w:val="46DAA6F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9B03620"/>
    <w:multiLevelType w:val="hybridMultilevel"/>
    <w:tmpl w:val="32E628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7A03"/>
    <w:rsid w:val="002061AE"/>
    <w:rsid w:val="004079C9"/>
    <w:rsid w:val="004C5BA5"/>
    <w:rsid w:val="00721288"/>
    <w:rsid w:val="00811CE7"/>
    <w:rsid w:val="008B0328"/>
    <w:rsid w:val="008B048F"/>
    <w:rsid w:val="00AD7A03"/>
    <w:rsid w:val="00B93082"/>
    <w:rsid w:val="00BF24D1"/>
    <w:rsid w:val="00D84375"/>
    <w:rsid w:val="00DE3D6F"/>
    <w:rsid w:val="00DF7F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87183C"/>
  <w15:chartTrackingRefBased/>
  <w15:docId w15:val="{E1AF1D9A-1878-42F5-81B3-BA42587561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437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3082"/>
    <w:pPr>
      <w:ind w:left="720"/>
      <w:contextualSpacing/>
    </w:pPr>
    <w:rPr>
      <w:rFonts w:eastAsia="Calibri" w:cs="Times New Roman"/>
      <w:szCs w:val="24"/>
    </w:rPr>
  </w:style>
  <w:style w:type="table" w:customStyle="1" w:styleId="TableGrid1">
    <w:name w:val="Table Grid1"/>
    <w:basedOn w:val="TableNormal"/>
    <w:next w:val="TableGrid"/>
    <w:uiPriority w:val="59"/>
    <w:rsid w:val="00AD7A03"/>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basedOn w:val="DefaultParagraphFont"/>
    <w:uiPriority w:val="99"/>
    <w:unhideWhenUsed/>
    <w:rsid w:val="00AD7A03"/>
    <w:rPr>
      <w:color w:val="00436A"/>
      <w:u w:val="single"/>
    </w:rPr>
  </w:style>
  <w:style w:type="table" w:styleId="TableGrid">
    <w:name w:val="Table Grid"/>
    <w:basedOn w:val="TableNormal"/>
    <w:uiPriority w:val="59"/>
    <w:rsid w:val="00AD7A03"/>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AD7A03"/>
    <w:rPr>
      <w:color w:val="00436A" w:themeColor="hyperlink"/>
      <w:u w:val="single"/>
    </w:rPr>
  </w:style>
  <w:style w:type="paragraph" w:styleId="Header">
    <w:name w:val="header"/>
    <w:basedOn w:val="Normal"/>
    <w:link w:val="HeaderChar"/>
    <w:uiPriority w:val="99"/>
    <w:unhideWhenUsed/>
    <w:rsid w:val="008B048F"/>
    <w:pPr>
      <w:tabs>
        <w:tab w:val="center" w:pos="4680"/>
        <w:tab w:val="right" w:pos="9360"/>
      </w:tabs>
      <w:spacing w:line="240" w:lineRule="auto"/>
    </w:pPr>
  </w:style>
  <w:style w:type="character" w:customStyle="1" w:styleId="HeaderChar">
    <w:name w:val="Header Char"/>
    <w:basedOn w:val="DefaultParagraphFont"/>
    <w:link w:val="Header"/>
    <w:uiPriority w:val="99"/>
    <w:rsid w:val="008B048F"/>
  </w:style>
  <w:style w:type="paragraph" w:styleId="Footer">
    <w:name w:val="footer"/>
    <w:basedOn w:val="Normal"/>
    <w:link w:val="FooterChar"/>
    <w:uiPriority w:val="99"/>
    <w:unhideWhenUsed/>
    <w:rsid w:val="008B048F"/>
    <w:pPr>
      <w:tabs>
        <w:tab w:val="center" w:pos="4680"/>
        <w:tab w:val="right" w:pos="9360"/>
      </w:tabs>
      <w:spacing w:line="240" w:lineRule="auto"/>
    </w:pPr>
  </w:style>
  <w:style w:type="character" w:customStyle="1" w:styleId="FooterChar">
    <w:name w:val="Footer Char"/>
    <w:basedOn w:val="DefaultParagraphFont"/>
    <w:link w:val="Footer"/>
    <w:uiPriority w:val="99"/>
    <w:rsid w:val="008B04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raining@dcadv.org" TargetMode="External"/><Relationship Id="rId3" Type="http://schemas.openxmlformats.org/officeDocument/2006/relationships/settings" Target="settings.xml"/><Relationship Id="rId7" Type="http://schemas.openxmlformats.org/officeDocument/2006/relationships/hyperlink" Target="mailto:training@dcadv.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DCADV Brand">
      <a:dk1>
        <a:sysClr val="windowText" lastClr="000000"/>
      </a:dk1>
      <a:lt1>
        <a:sysClr val="window" lastClr="FFFFFF"/>
      </a:lt1>
      <a:dk2>
        <a:srgbClr val="44546A"/>
      </a:dk2>
      <a:lt2>
        <a:srgbClr val="E7E6E6"/>
      </a:lt2>
      <a:accent1>
        <a:srgbClr val="4F246D"/>
      </a:accent1>
      <a:accent2>
        <a:srgbClr val="E64D3C"/>
      </a:accent2>
      <a:accent3>
        <a:srgbClr val="F6B619"/>
      </a:accent3>
      <a:accent4>
        <a:srgbClr val="009789"/>
      </a:accent4>
      <a:accent5>
        <a:srgbClr val="00ACC1"/>
      </a:accent5>
      <a:accent6>
        <a:srgbClr val="9E1F63"/>
      </a:accent6>
      <a:hlink>
        <a:srgbClr val="00436A"/>
      </a:hlink>
      <a:folHlink>
        <a:srgbClr val="C0CA3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867</Words>
  <Characters>4942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5798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Courtney Winkler</dc:creator>
  <cp:keywords/>
  <dc:description/>
  <cp:lastModifiedBy>Courtney Winkler</cp:lastModifiedBy>
  <cp:revision>6</cp:revision>
  <dcterms:created xsi:type="dcterms:W3CDTF">2022-08-24T17:26:00Z</dcterms:created>
  <dcterms:modified xsi:type="dcterms:W3CDTF">2022-11-18T18:58:00Z</dcterms:modified>
</cp:coreProperties>
</file>